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proofErr w:type="gramStart"/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>lifetime</w:t>
      </w:r>
      <w:proofErr w:type="gramEnd"/>
      <w:r w:rsidR="00F82E2C">
        <w:rPr>
          <w:rFonts w:cstheme="minorHAnsi"/>
        </w:rPr>
        <w:t xml:space="preserve">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the </w:t>
      </w:r>
      <w:proofErr w:type="gramStart"/>
      <w:r>
        <w:rPr>
          <w:rFonts w:cstheme="minorHAnsi"/>
        </w:rPr>
        <w:t>dual-baseline</w:t>
      </w:r>
      <w:proofErr w:type="gramEnd"/>
      <w:r>
        <w:rPr>
          <w:rFonts w:cstheme="minorHAnsi"/>
        </w:rPr>
        <w:t xml:space="preserve">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</w:t>
      </w:r>
      <w:proofErr w:type="spellStart"/>
      <w:r>
        <w:rPr>
          <w:rFonts w:cstheme="minorHAnsi"/>
        </w:rPr>
        <w:t>eTRM</w:t>
      </w:r>
      <w:proofErr w:type="spellEnd"/>
      <w:r>
        <w:rPr>
          <w:rFonts w:cstheme="minorHAnsi"/>
        </w:rPr>
        <w:t xml:space="preserve">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 xml:space="preserve">, capacity range, or configuration specifics. However, almost </w:t>
      </w:r>
      <w:proofErr w:type="gramStart"/>
      <w:r w:rsidRPr="004B5B90">
        <w:t>all of</w:t>
      </w:r>
      <w:proofErr w:type="gramEnd"/>
      <w:r w:rsidRPr="004B5B90">
        <w:t xml:space="preserve">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</w:t>
      </w:r>
      <w:proofErr w:type="gramStart"/>
      <w:r w:rsidRPr="004B5B90">
        <w:t>e.g.</w:t>
      </w:r>
      <w:proofErr w:type="gramEnd"/>
      <w:r w:rsidRPr="004B5B90">
        <w:t xml:space="preserve"> per ton, per </w:t>
      </w:r>
      <w:proofErr w:type="spellStart"/>
      <w:r w:rsidRPr="004B5B90">
        <w:t>kBtuh</w:t>
      </w:r>
      <w:proofErr w:type="spellEnd"/>
      <w:r w:rsidRPr="004B5B90">
        <w:t xml:space="preserve">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proofErr w:type="gramStart"/>
      <w:r w:rsidRPr="004B5B90">
        <w:t>calculations</w:t>
      </w:r>
      <w:r w:rsidR="006961A1">
        <w:t>, but</w:t>
      </w:r>
      <w:proofErr w:type="gramEnd"/>
      <w:r w:rsidR="006961A1">
        <w:t xml:space="preserve">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</w:t>
      </w:r>
      <w:proofErr w:type="gramStart"/>
      <w:r w:rsidRPr="0027577A">
        <w:rPr>
          <w:rFonts w:cstheme="minorHAnsi"/>
        </w:rPr>
        <w:t xml:space="preserve">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</w:t>
      </w:r>
      <w:proofErr w:type="gramEnd"/>
      <w:r w:rsidRPr="0027577A">
        <w:rPr>
          <w:rFonts w:cstheme="minorHAnsi"/>
        </w:rPr>
        <w:t xml:space="preserve">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</w:t>
      </w:r>
      <w:proofErr w:type="gramStart"/>
      <w:r w:rsidR="00754AA5">
        <w:rPr>
          <w:rFonts w:cstheme="minorHAnsi"/>
        </w:rPr>
        <w:t>an</w:t>
      </w:r>
      <w:proofErr w:type="gramEnd"/>
      <w:r w:rsidR="00754AA5">
        <w:rPr>
          <w:rFonts w:cstheme="minorHAnsi"/>
        </w:rPr>
        <w:t xml:space="preserve">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</w:t>
      </w:r>
      <w:proofErr w:type="gramStart"/>
      <w:r w:rsidRPr="00D81D68">
        <w:rPr>
          <w:rFonts w:cstheme="minorHAnsi"/>
        </w:rPr>
        <w:t>unit, and</w:t>
      </w:r>
      <w:proofErr w:type="gramEnd"/>
      <w:r w:rsidRPr="00D81D68">
        <w:rPr>
          <w:rFonts w:cstheme="minorHAnsi"/>
        </w:rPr>
        <w:t xml:space="preserve">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</w:t>
      </w:r>
      <w:proofErr w:type="spellStart"/>
      <w:r w:rsidR="00D6578E">
        <w:rPr>
          <w:rFonts w:cstheme="minorHAnsi"/>
        </w:rPr>
        <w:t>eTRM</w:t>
      </w:r>
      <w:proofErr w:type="spellEnd"/>
      <w:r w:rsidR="00D6578E">
        <w:rPr>
          <w:rFonts w:cstheme="minorHAnsi"/>
        </w:rPr>
        <w:t xml:space="preserve">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59AF4D85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SW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>WH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0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>27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-0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>2</w:t>
            </w:r>
          </w:p>
          <w:p w14:paraId="59147993" w14:textId="5C6E4C4D" w:rsidR="00711EFC" w:rsidRPr="00BD0EFA" w:rsidRDefault="00A04502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HEAT PUMP</w:t>
            </w:r>
            <w:r w:rsidR="00FC44FB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WATER HEATER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="00086BB6">
              <w:rPr>
                <w:rFonts w:asciiTheme="minorHAnsi" w:hAnsiTheme="minorHAnsi" w:cstheme="minorHAnsi"/>
                <w:bCs w:val="0"/>
                <w:sz w:val="20"/>
                <w:szCs w:val="20"/>
              </w:rPr>
              <w:t>COMMERCIAL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- 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601ABA53" w:rsidR="00711EFC" w:rsidRPr="00BD0EFA" w:rsidRDefault="00BD0EFA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11/</w:t>
            </w:r>
            <w:r w:rsidR="00DB0017">
              <w:rPr>
                <w:rFonts w:asciiTheme="minorHAnsi" w:hAnsiTheme="minorHAnsi" w:cstheme="minorHAnsi"/>
                <w:bCs w:val="0"/>
                <w:sz w:val="20"/>
                <w:szCs w:val="20"/>
              </w:rPr>
              <w:t>30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RefrigerantNPVBenefits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For “</w:t>
            </w:r>
            <w:proofErr w:type="spellStart"/>
            <w:r w:rsidRPr="007A14C9">
              <w:rPr>
                <w:rFonts w:cstheme="minorHAnsi"/>
                <w:sz w:val="20"/>
                <w:szCs w:val="20"/>
              </w:rPr>
              <w:t>RefrigerantNPVCosts</w:t>
            </w:r>
            <w:proofErr w:type="spellEnd"/>
            <w:r w:rsidRPr="007A14C9">
              <w:rPr>
                <w:rFonts w:cstheme="minorHAnsi"/>
                <w:sz w:val="20"/>
                <w:szCs w:val="20"/>
              </w:rPr>
              <w:t xml:space="preserve">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proofErr w:type="spellStart"/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</w:t>
            </w:r>
            <w:proofErr w:type="spellEnd"/>
            <w:r w:rsidRPr="00E333E2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E333E2">
              <w:rPr>
                <w:rFonts w:cstheme="minorHAnsi"/>
                <w:i/>
                <w:iCs/>
                <w:sz w:val="20"/>
                <w:szCs w:val="20"/>
              </w:rPr>
              <w:t>Outputs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07FBC" w14:textId="77777777" w:rsidR="00101E02" w:rsidRDefault="00101E02" w:rsidP="00D70D61">
      <w:pPr>
        <w:spacing w:after="0" w:line="240" w:lineRule="auto"/>
      </w:pPr>
      <w:r>
        <w:separator/>
      </w:r>
    </w:p>
  </w:endnote>
  <w:endnote w:type="continuationSeparator" w:id="0">
    <w:p w14:paraId="53F48252" w14:textId="77777777" w:rsidR="00101E02" w:rsidRDefault="00101E02" w:rsidP="00D70D61">
      <w:pPr>
        <w:spacing w:after="0" w:line="240" w:lineRule="auto"/>
      </w:pPr>
      <w:r>
        <w:continuationSeparator/>
      </w:r>
    </w:p>
  </w:endnote>
  <w:endnote w:type="continuationNotice" w:id="1">
    <w:p w14:paraId="19E5CCC0" w14:textId="77777777" w:rsidR="00101E02" w:rsidRDefault="00101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2DA7C" w14:textId="77777777" w:rsidR="00101E02" w:rsidRDefault="00101E02" w:rsidP="00D70D61">
      <w:pPr>
        <w:spacing w:after="0" w:line="240" w:lineRule="auto"/>
      </w:pPr>
      <w:r>
        <w:separator/>
      </w:r>
    </w:p>
  </w:footnote>
  <w:footnote w:type="continuationSeparator" w:id="0">
    <w:p w14:paraId="2E6BBB3E" w14:textId="77777777" w:rsidR="00101E02" w:rsidRDefault="00101E02" w:rsidP="00D70D61">
      <w:pPr>
        <w:spacing w:after="0" w:line="240" w:lineRule="auto"/>
      </w:pPr>
      <w:r>
        <w:continuationSeparator/>
      </w:r>
    </w:p>
  </w:footnote>
  <w:footnote w:type="continuationNotice" w:id="1">
    <w:p w14:paraId="3773FE63" w14:textId="77777777" w:rsidR="00101E02" w:rsidRDefault="00101E02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6BB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1E02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375D4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502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400A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1EB5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0017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02B7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C44FB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1374</Words>
  <Characters>7834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22</cp:revision>
  <dcterms:created xsi:type="dcterms:W3CDTF">2021-11-10T02:40:00Z</dcterms:created>
  <dcterms:modified xsi:type="dcterms:W3CDTF">2021-11-30T20:59:00Z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